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3" w:rsidRPr="000150E3" w:rsidRDefault="00916443" w:rsidP="00015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50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Результати </w:t>
      </w:r>
    </w:p>
    <w:p w:rsidR="00916443" w:rsidRPr="000150E3" w:rsidRDefault="00916443" w:rsidP="00015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50E3">
        <w:rPr>
          <w:rFonts w:ascii="Times New Roman" w:hAnsi="Times New Roman" w:cs="Times New Roman"/>
          <w:b/>
          <w:sz w:val="32"/>
          <w:szCs w:val="32"/>
          <w:lang w:val="uk-UA"/>
        </w:rPr>
        <w:t>соціологічного дослідження щодо перейменування</w:t>
      </w:r>
    </w:p>
    <w:p w:rsidR="00585977" w:rsidRPr="000150E3" w:rsidRDefault="00916443" w:rsidP="000150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50E3">
        <w:rPr>
          <w:rFonts w:ascii="Times New Roman" w:hAnsi="Times New Roman" w:cs="Times New Roman"/>
          <w:b/>
          <w:sz w:val="32"/>
          <w:szCs w:val="32"/>
          <w:lang w:val="uk-UA"/>
        </w:rPr>
        <w:t>бібліотеки на ім’я Василя Стуса</w:t>
      </w:r>
      <w:r w:rsidR="0030645F">
        <w:rPr>
          <w:rFonts w:ascii="Times New Roman" w:hAnsi="Times New Roman" w:cs="Times New Roman"/>
          <w:b/>
          <w:sz w:val="32"/>
          <w:szCs w:val="32"/>
          <w:lang w:val="uk-UA"/>
        </w:rPr>
        <w:t>, нашого земляка, поета, правозахисника, Героя України</w:t>
      </w:r>
    </w:p>
    <w:p w:rsidR="000150E3" w:rsidRDefault="000150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5B9A" w:rsidRDefault="0030645F" w:rsidP="0004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45F">
        <w:rPr>
          <w:rFonts w:ascii="Times New Roman" w:hAnsi="Times New Roman" w:cs="Times New Roman"/>
          <w:b/>
          <w:sz w:val="28"/>
          <w:szCs w:val="28"/>
          <w:lang w:val="uk-UA"/>
        </w:rPr>
        <w:t>Історична довідка: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45F">
        <w:rPr>
          <w:rFonts w:ascii="Times New Roman" w:hAnsi="Times New Roman" w:cs="Times New Roman"/>
          <w:sz w:val="28"/>
          <w:szCs w:val="28"/>
          <w:lang w:val="uk-UA"/>
        </w:rPr>
        <w:t xml:space="preserve">Донецька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обласна універсальна наукова бібліотека </w:t>
      </w:r>
      <w:r w:rsidRPr="00306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645F">
        <w:rPr>
          <w:rFonts w:ascii="Times New Roman" w:hAnsi="Times New Roman" w:cs="Times New Roman"/>
          <w:sz w:val="28"/>
          <w:szCs w:val="28"/>
          <w:lang w:val="uk-UA"/>
        </w:rPr>
        <w:t>ім. Н. К. Крупської була заснована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45F">
        <w:rPr>
          <w:rFonts w:ascii="Times New Roman" w:hAnsi="Times New Roman" w:cs="Times New Roman"/>
          <w:sz w:val="28"/>
          <w:szCs w:val="28"/>
          <w:lang w:val="uk-UA"/>
        </w:rPr>
        <w:t xml:space="preserve">1926 р. У 1935 р. почалось будівництво спеціального приміщення для бібліотеки, чому значною мірою сприяла громадська діячка, доктор педагогічних наук, теоретик й організатор бібліотечної справи Н. К. </w:t>
      </w:r>
      <w:proofErr w:type="spellStart"/>
      <w:r w:rsidRPr="0030645F">
        <w:rPr>
          <w:rFonts w:ascii="Times New Roman" w:hAnsi="Times New Roman" w:cs="Times New Roman"/>
          <w:sz w:val="28"/>
          <w:szCs w:val="28"/>
          <w:lang w:val="uk-UA"/>
        </w:rPr>
        <w:t>Крупська</w:t>
      </w:r>
      <w:proofErr w:type="spellEnd"/>
      <w:r w:rsidRPr="0030645F">
        <w:rPr>
          <w:rFonts w:ascii="Times New Roman" w:hAnsi="Times New Roman" w:cs="Times New Roman"/>
          <w:sz w:val="28"/>
          <w:szCs w:val="28"/>
          <w:lang w:val="uk-UA"/>
        </w:rPr>
        <w:t>. З 1936 р. бібліотека носить її ім’я.</w:t>
      </w:r>
      <w:r w:rsidR="00045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B9A" w:rsidRDefault="00916443" w:rsidP="0004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B9A">
        <w:rPr>
          <w:rFonts w:ascii="Times New Roman" w:hAnsi="Times New Roman" w:cs="Times New Roman"/>
          <w:sz w:val="28"/>
          <w:szCs w:val="28"/>
          <w:lang w:val="uk-UA"/>
        </w:rPr>
        <w:t>У дослідженні взяли участь 560 відвідувачів бібліотеки, проаналізовано 544 анкети.</w:t>
      </w:r>
      <w:r w:rsidR="00045B9A" w:rsidRPr="00045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B9A" w:rsidRPr="00045B9A" w:rsidRDefault="00045B9A" w:rsidP="0004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B9A">
        <w:rPr>
          <w:rFonts w:ascii="Times New Roman" w:hAnsi="Times New Roman" w:cs="Times New Roman"/>
          <w:sz w:val="28"/>
          <w:szCs w:val="28"/>
          <w:lang w:val="uk-UA"/>
        </w:rPr>
        <w:t>Хід та підсумкові дані анкетування показали, що проблема дослідження не залишила байдужими людей різних вікових та професійних груп. Більшість користувачів, а це 466 осіб, або 85,7 %, не вважають питання перейменування бібліотеки актуальним.</w:t>
      </w:r>
    </w:p>
    <w:p w:rsidR="00916443" w:rsidRPr="000150E3" w:rsidRDefault="00916443" w:rsidP="0004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443" w:rsidRPr="0016171E" w:rsidRDefault="0016171E" w:rsidP="001617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7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2855" cy="36163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171E" w:rsidRPr="0016171E" w:rsidRDefault="0016171E" w:rsidP="00161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1E">
        <w:rPr>
          <w:rFonts w:ascii="Times New Roman" w:hAnsi="Times New Roman" w:cs="Times New Roman"/>
          <w:sz w:val="28"/>
          <w:szCs w:val="28"/>
          <w:lang w:val="uk-UA"/>
        </w:rPr>
        <w:t>Найбільш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висловили свою думку </w:t>
      </w:r>
      <w:r w:rsidRPr="0016171E">
        <w:rPr>
          <w:rFonts w:ascii="Times New Roman" w:hAnsi="Times New Roman" w:cs="Times New Roman"/>
          <w:sz w:val="28"/>
          <w:szCs w:val="28"/>
          <w:lang w:val="uk-UA"/>
        </w:rPr>
        <w:t>респонденти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вік яких</w:t>
      </w:r>
      <w:r w:rsidRPr="0016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більше </w:t>
      </w:r>
      <w:r w:rsidR="00B1657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45 років</w:t>
      </w:r>
      <w:r w:rsidRPr="001617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71E" w:rsidRDefault="0016171E" w:rsidP="00161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1E">
        <w:rPr>
          <w:rFonts w:ascii="Times New Roman" w:hAnsi="Times New Roman" w:cs="Times New Roman"/>
          <w:sz w:val="28"/>
          <w:szCs w:val="28"/>
          <w:lang w:val="uk-UA"/>
        </w:rPr>
        <w:t>Аналіз анкет показав, що респонденти мають неоднаковий читацький стаж. Розподіл користувачів за цим показником є таким: до 2 років – 16,6 %, від 2 до 10 – 30,3 %, 10–20 років – 21,1 %, понад 20 років – 32,0 %. Певну групу складають читачі, які користуються бібліотекою з 1950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171E">
        <w:rPr>
          <w:rFonts w:ascii="Times New Roman" w:hAnsi="Times New Roman" w:cs="Times New Roman"/>
          <w:sz w:val="28"/>
          <w:szCs w:val="28"/>
          <w:lang w:val="uk-UA"/>
        </w:rPr>
        <w:t xml:space="preserve">1960-х років і навіть з 1945 року </w:t>
      </w:r>
      <w:r w:rsidRPr="0016171E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минулого століття.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71E">
        <w:rPr>
          <w:rFonts w:ascii="Times New Roman" w:hAnsi="Times New Roman" w:cs="Times New Roman"/>
          <w:sz w:val="28"/>
          <w:szCs w:val="28"/>
          <w:lang w:val="uk-UA"/>
        </w:rPr>
        <w:t>в анкетуванні взяли участь переважно постійні користувачі. Не вказали свого читацького стажу 5 респондентів.</w:t>
      </w:r>
    </w:p>
    <w:p w:rsidR="009B1CF7" w:rsidRPr="0016171E" w:rsidRDefault="009B1CF7" w:rsidP="00161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F61" w:rsidRDefault="00C40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2855" cy="351409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0F61" w:rsidRPr="00C40F61" w:rsidRDefault="00C40F61" w:rsidP="00C4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F61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соціально-професійних ознак респондентів, то більшість опитаних складають працівники освіти, культури і мистецтва (23,5 %), пенсіонери (22,9 %) та інженерно технічні працівники, працівники  економічної сфери </w:t>
      </w:r>
      <w:r w:rsidR="00B165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40F61">
        <w:rPr>
          <w:rFonts w:ascii="Times New Roman" w:hAnsi="Times New Roman" w:cs="Times New Roman"/>
          <w:sz w:val="28"/>
          <w:szCs w:val="28"/>
          <w:lang w:val="uk-UA"/>
        </w:rPr>
        <w:t>(20,5</w:t>
      </w:r>
      <w:r w:rsidR="00B16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F61">
        <w:rPr>
          <w:rFonts w:ascii="Times New Roman" w:hAnsi="Times New Roman" w:cs="Times New Roman"/>
          <w:sz w:val="28"/>
          <w:szCs w:val="28"/>
          <w:lang w:val="uk-UA"/>
        </w:rPr>
        <w:t xml:space="preserve">%). Студенти склали 14,9 %, службовці </w:t>
      </w:r>
      <w:r w:rsidR="00B16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40F61">
        <w:rPr>
          <w:rFonts w:ascii="Times New Roman" w:hAnsi="Times New Roman" w:cs="Times New Roman"/>
          <w:sz w:val="28"/>
          <w:szCs w:val="28"/>
          <w:lang w:val="uk-UA"/>
        </w:rPr>
        <w:t xml:space="preserve"> 5,3 %. В анкетуванні також взяли участь представники інших професій (10,6 %), серед яких лікарі, юристи, журналісти, перекладачі, продавці, архіваріус, перукар та інші. Серед опитаних </w:t>
      </w:r>
      <w:r w:rsidR="00B165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40F61">
        <w:rPr>
          <w:rFonts w:ascii="Times New Roman" w:hAnsi="Times New Roman" w:cs="Times New Roman"/>
          <w:sz w:val="28"/>
          <w:szCs w:val="28"/>
          <w:lang w:val="uk-UA"/>
        </w:rPr>
        <w:t>2 домогосподарки і 2 респонденти, які не вказали рід своєї діяльності.</w:t>
      </w:r>
    </w:p>
    <w:p w:rsidR="00C40F61" w:rsidRPr="00C40F61" w:rsidRDefault="00C40F61" w:rsidP="00C4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F61">
        <w:rPr>
          <w:rFonts w:ascii="Times New Roman" w:hAnsi="Times New Roman" w:cs="Times New Roman"/>
          <w:sz w:val="28"/>
          <w:szCs w:val="28"/>
          <w:lang w:val="uk-UA"/>
        </w:rPr>
        <w:t>Всі проаналізовані соціально-демографічні ознаки опитаних підтверджують вірність обраної вибіркової сукупності та дозволяють зробити висновки, що думки опитаних відповідають думкам усього читацького контингенту бібліотеки.</w:t>
      </w:r>
    </w:p>
    <w:p w:rsidR="00C40F61" w:rsidRPr="00C40F61" w:rsidRDefault="00C40F61" w:rsidP="00C4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F61">
        <w:rPr>
          <w:rFonts w:ascii="Times New Roman" w:hAnsi="Times New Roman" w:cs="Times New Roman"/>
          <w:sz w:val="28"/>
          <w:szCs w:val="28"/>
          <w:lang w:val="uk-UA"/>
        </w:rPr>
        <w:t>Опитування показало, що більшість користувачів</w:t>
      </w:r>
      <w:r w:rsidR="00B1657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40F61">
        <w:rPr>
          <w:rFonts w:ascii="Times New Roman" w:hAnsi="Times New Roman" w:cs="Times New Roman"/>
          <w:sz w:val="28"/>
          <w:szCs w:val="28"/>
          <w:lang w:val="uk-UA"/>
        </w:rPr>
        <w:t xml:space="preserve"> 84,7 %, пропонує залишити бібліотеці ім’я Н.К. Крупської. Підтримали перейменування і присвоєння бібліотеці імені В. Стуса лише 9,9 % опитаних, переважну кількість яких складають користувачі зрілого та старшого віку (57,4 %). Вони відносяться до різних професійних груп або є пенсіонерами. Вважають за необхідне не присвоювати ніяких імен 3,9 % респондентів. Майже половина з них відноситься до вікової групи понад 45 років. (47,6 %). Деякі опитані (1,5 %) висловили інші думки та пропозиції. Серед них є такі, що пропонують присвоїти бібліотеці ім’я </w:t>
      </w:r>
      <w:r w:rsidR="00B165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40F61">
        <w:rPr>
          <w:rFonts w:ascii="Times New Roman" w:hAnsi="Times New Roman" w:cs="Times New Roman"/>
          <w:sz w:val="28"/>
          <w:szCs w:val="28"/>
          <w:lang w:val="uk-UA"/>
        </w:rPr>
        <w:t>Г. Сковороди, назвати її «громадська бібліотека». Шість респондентів вважають питання перейменування бібліотеки  неактуальним, а дехто вкрай негативно висловився щодо цього.</w:t>
      </w:r>
    </w:p>
    <w:p w:rsidR="00B1657E" w:rsidRDefault="00CD5084" w:rsidP="00C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0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19875" cy="320040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657E" w:rsidRPr="00C40F61" w:rsidRDefault="00B1657E" w:rsidP="00B16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F61">
        <w:rPr>
          <w:rFonts w:ascii="Times New Roman" w:hAnsi="Times New Roman" w:cs="Times New Roman"/>
          <w:sz w:val="28"/>
          <w:szCs w:val="28"/>
          <w:lang w:val="uk-UA"/>
        </w:rPr>
        <w:t>Загальний підсумок проведеного опитування користувачів свідчить, що зміна імені Донецької обласної універсальної наукової бібліотеки не є найважливішою проблемою сьогодення. У переважній кількості відвідувачів бібліотека асоціюється з іменем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F61">
        <w:rPr>
          <w:rFonts w:ascii="Times New Roman" w:hAnsi="Times New Roman" w:cs="Times New Roman"/>
          <w:sz w:val="28"/>
          <w:szCs w:val="28"/>
          <w:lang w:val="uk-UA"/>
        </w:rPr>
        <w:t>К. Крупської. Тому вони виступають проти її перейменування, яке вважають «</w:t>
      </w:r>
      <w:proofErr w:type="spellStart"/>
      <w:r w:rsidRPr="00C40F61">
        <w:rPr>
          <w:rFonts w:ascii="Times New Roman" w:hAnsi="Times New Roman" w:cs="Times New Roman"/>
          <w:sz w:val="28"/>
          <w:szCs w:val="28"/>
          <w:lang w:val="uk-UA"/>
        </w:rPr>
        <w:t>компанейщиной</w:t>
      </w:r>
      <w:proofErr w:type="spellEnd"/>
      <w:r w:rsidRPr="00C40F61">
        <w:rPr>
          <w:rFonts w:ascii="Times New Roman" w:hAnsi="Times New Roman" w:cs="Times New Roman"/>
          <w:sz w:val="28"/>
          <w:szCs w:val="28"/>
          <w:lang w:val="uk-UA"/>
        </w:rPr>
        <w:t>». Крім того, респонденти відмічають, що зміна імені тягне за собою величезні матеріальні витрати, які бібліотеці потрібні для її діяльності.</w:t>
      </w:r>
    </w:p>
    <w:p w:rsidR="00916443" w:rsidRPr="00B1657E" w:rsidRDefault="00916443" w:rsidP="00B1657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6443" w:rsidRPr="00B1657E" w:rsidSect="0058597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443"/>
    <w:rsid w:val="000150E3"/>
    <w:rsid w:val="00045B9A"/>
    <w:rsid w:val="000521D6"/>
    <w:rsid w:val="0016171E"/>
    <w:rsid w:val="0030645F"/>
    <w:rsid w:val="003D1A2C"/>
    <w:rsid w:val="004E2D31"/>
    <w:rsid w:val="00585977"/>
    <w:rsid w:val="00916443"/>
    <w:rsid w:val="00935378"/>
    <w:rsid w:val="009B1CF7"/>
    <w:rsid w:val="00A807AB"/>
    <w:rsid w:val="00B1657E"/>
    <w:rsid w:val="00B51F73"/>
    <w:rsid w:val="00C40F61"/>
    <w:rsid w:val="00C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zamdir-new\Documents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zamdir-new\Documents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zamdir-new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1545748981934342"/>
          <c:y val="9.8272325715383316E-2"/>
          <c:w val="0.74361151931217606"/>
          <c:h val="0.80345534856923351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explosion val="1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dLbl>
              <c:idx val="0"/>
              <c:layout>
                <c:manualLayout>
                  <c:x val="9.2824475065617071E-2"/>
                  <c:y val="-1.5087853601633151E-2"/>
                </c:manualLayout>
              </c:layout>
              <c:showVal val="1"/>
            </c:dLbl>
            <c:dLbl>
              <c:idx val="1"/>
              <c:layout>
                <c:manualLayout>
                  <c:x val="-2.7589020122484695E-2"/>
                  <c:y val="-1.2975721784776906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/>
                </a:pPr>
                <a:endParaRPr lang="en-US"/>
              </a:p>
            </c:txPr>
            <c:showVal val="1"/>
            <c:showLeaderLines val="1"/>
          </c:dLbls>
          <c:cat>
            <c:strRef>
              <c:f>Лист1!$B$1:$B$2</c:f>
              <c:strCache>
                <c:ptCount val="2"/>
                <c:pt idx="0">
                  <c:v>ні</c:v>
                </c:pt>
                <c:pt idx="1">
                  <c:v>так</c:v>
                </c:pt>
              </c:strCache>
            </c:strRef>
          </c:cat>
          <c:val>
            <c:numRef>
              <c:f>Лист1!$C$1:$C$2</c:f>
              <c:numCache>
                <c:formatCode>0.00%</c:formatCode>
                <c:ptCount val="2"/>
                <c:pt idx="0">
                  <c:v>0.85700000000000032</c:v>
                </c:pt>
                <c:pt idx="1">
                  <c:v>0.14300000000000004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939186571037962"/>
          <c:y val="0.21461724601498"/>
          <c:w val="9.2325868737160172E-2"/>
          <c:h val="0.18052160553101593"/>
        </c:manualLayout>
      </c:layout>
      <c:txPr>
        <a:bodyPr/>
        <a:lstStyle/>
        <a:p>
          <a:pPr>
            <a:defRPr sz="1600"/>
          </a:pPr>
          <a:endParaRPr lang="en-US"/>
        </a:p>
      </c:txPr>
    </c:legend>
    <c:plotVisOnly val="1"/>
  </c:chart>
  <c:spPr>
    <a:noFill/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9622208308890778E-2"/>
          <c:y val="9.6800878748125457E-2"/>
          <c:w val="0.61151948371306297"/>
          <c:h val="0.86146368759742598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8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0712429010028621"/>
                  <c:y val="-8.0258470229292597E-2"/>
                </c:manualLayout>
              </c:layout>
              <c:showVal val="1"/>
            </c:dLbl>
            <c:dLbl>
              <c:idx val="1"/>
              <c:layout>
                <c:manualLayout>
                  <c:x val="4.7880872334778384E-2"/>
                  <c:y val="4.4818628440675766E-2"/>
                </c:manualLayout>
              </c:layout>
              <c:showVal val="1"/>
            </c:dLbl>
            <c:dLbl>
              <c:idx val="2"/>
              <c:layout>
                <c:manualLayout>
                  <c:x val="7.3922852340086763E-3"/>
                  <c:y val="-1.4927877605042975E-2"/>
                </c:manualLayout>
              </c:layout>
              <c:showVal val="1"/>
            </c:dLbl>
            <c:dLbl>
              <c:idx val="3"/>
              <c:layout>
                <c:manualLayout>
                  <c:x val="0.10702404982824314"/>
                  <c:y val="-1.5697136842666243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/>
                </a:pPr>
                <a:endParaRPr lang="en-US"/>
              </a:p>
            </c:txPr>
            <c:showVal val="1"/>
            <c:showLeaderLines val="1"/>
          </c:dLbls>
          <c:cat>
            <c:strRef>
              <c:f>Лист1!$B$25:$B$28</c:f>
              <c:strCache>
                <c:ptCount val="4"/>
                <c:pt idx="0">
                  <c:v>від 45 років</c:v>
                </c:pt>
                <c:pt idx="1">
                  <c:v>31-45 років</c:v>
                </c:pt>
                <c:pt idx="2">
                  <c:v>22-30 років</c:v>
                </c:pt>
                <c:pt idx="3">
                  <c:v>16-21 рік</c:v>
                </c:pt>
              </c:strCache>
            </c:strRef>
          </c:cat>
          <c:val>
            <c:numRef>
              <c:f>Лист1!$C$25:$C$28</c:f>
              <c:numCache>
                <c:formatCode>0.00%</c:formatCode>
                <c:ptCount val="4"/>
                <c:pt idx="0">
                  <c:v>0.504</c:v>
                </c:pt>
                <c:pt idx="1">
                  <c:v>0.16500000000000001</c:v>
                </c:pt>
                <c:pt idx="2">
                  <c:v>0.20200000000000001</c:v>
                </c:pt>
                <c:pt idx="3">
                  <c:v>0.128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600"/>
          </a:pPr>
          <a:endParaRPr lang="en-US"/>
        </a:p>
      </c:txPr>
    </c:legend>
    <c:plotVisOnly val="1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0688038807141548E-5"/>
          <c:y val="9.9230713971146328E-2"/>
          <c:w val="0.53181679471018251"/>
          <c:h val="0.7941922317831916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008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5.335664782508321E-2"/>
                  <c:y val="5.8890968701772566E-2"/>
                </c:manualLayout>
              </c:layout>
              <c:showVal val="1"/>
            </c:dLbl>
            <c:dLbl>
              <c:idx val="3"/>
              <c:layout>
                <c:manualLayout>
                  <c:x val="5.9631879216564057E-2"/>
                  <c:y val="-1.5661260952759968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/>
                </a:pPr>
                <a:endParaRPr lang="en-US"/>
              </a:p>
            </c:txPr>
            <c:showVal val="1"/>
            <c:showLeaderLines val="1"/>
          </c:dLbls>
          <c:cat>
            <c:strRef>
              <c:f>Лист1!$B$47:$B$50</c:f>
              <c:strCache>
                <c:ptCount val="4"/>
                <c:pt idx="0">
                  <c:v>залишити ім'я Н. К. Крупської</c:v>
                </c:pt>
                <c:pt idx="1">
                  <c:v>перейменувати на ім'я В. С. Стуса</c:v>
                </c:pt>
                <c:pt idx="2">
                  <c:v>не присвоювати ніяких імен</c:v>
                </c:pt>
                <c:pt idx="3">
                  <c:v>інші</c:v>
                </c:pt>
              </c:strCache>
            </c:strRef>
          </c:cat>
          <c:val>
            <c:numRef>
              <c:f>Лист1!$C$47:$C$50</c:f>
              <c:numCache>
                <c:formatCode>0.00%</c:formatCode>
                <c:ptCount val="4"/>
                <c:pt idx="0">
                  <c:v>0.84700000000000031</c:v>
                </c:pt>
                <c:pt idx="1">
                  <c:v>9.9000000000000046E-2</c:v>
                </c:pt>
                <c:pt idx="2">
                  <c:v>3.9000000000000014E-2</c:v>
                </c:pt>
                <c:pt idx="3">
                  <c:v>1.4999999999999998E-2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9819520579580645"/>
          <c:y val="0.17185103089563342"/>
          <c:w val="0.49066258425307402"/>
          <c:h val="0.6562979382087345"/>
        </c:manualLayout>
      </c:layout>
      <c:txPr>
        <a:bodyPr/>
        <a:lstStyle/>
        <a:p>
          <a:pPr>
            <a:defRPr sz="1600"/>
          </a:pPr>
          <a:endParaRPr lang="en-US"/>
        </a:p>
      </c:txPr>
    </c:legend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0.51742</cdr:x>
      <cdr:y>0.00244</cdr:y>
    </cdr:from>
    <cdr:to>
      <cdr:x>1</cdr:x>
      <cdr:y>0.15304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38609" y="9525"/>
          <a:ext cx="3300341" cy="5881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600">
              <a:latin typeface="+mn-lt"/>
              <a:ea typeface="+mn-ea"/>
              <a:cs typeface="+mn-cs"/>
            </a:rPr>
            <a:t>Чи є зараз актуальним питання перейменування бібліотеки?</a:t>
          </a:r>
          <a:endParaRPr lang="en-US" sz="16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</cdr:x>
      <cdr:y>0</cdr:y>
    </cdr:from>
    <cdr:to>
      <cdr:x>1</cdr:x>
      <cdr:y>0.21574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81376" y="0"/>
          <a:ext cx="3381375" cy="809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600"/>
            <a:t>Вікові</a:t>
          </a:r>
          <a:r>
            <a:rPr lang="uk-UA" sz="1600" baseline="0"/>
            <a:t> категорії респондентів анкетування</a:t>
          </a:r>
          <a:endParaRPr lang="en-US" sz="16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0.44568</cdr:x>
      <cdr:y>0.00826</cdr:y>
    </cdr:from>
    <cdr:to>
      <cdr:x>0.9805</cdr:x>
      <cdr:y>0.17355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00" y="28576"/>
          <a:ext cx="36576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600"/>
            <a:t>Думка користувачів  щодо перейменування бібліотеки</a:t>
          </a:r>
          <a:endParaRPr lang="en-US" sz="16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zamdir-new</dc:creator>
  <cp:lastModifiedBy>zamdir-new</cp:lastModifiedBy>
  <cp:revision>6</cp:revision>
  <cp:lastPrinted>2013-02-20T11:00:00Z</cp:lastPrinted>
  <dcterms:created xsi:type="dcterms:W3CDTF">2013-02-20T07:24:00Z</dcterms:created>
  <dcterms:modified xsi:type="dcterms:W3CDTF">2013-03-07T06:13:00Z</dcterms:modified>
</cp:coreProperties>
</file>